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sectPr>
          <w:pgSz w:h="15840" w:w="12240" w:orient="portrait"/>
          <w:pgMar w:bottom="1440" w:top="1440" w:left="1440" w:right="1440" w:header="720" w:footer="720"/>
          <w:pgNumType w:start="1"/>
        </w:sectPr>
      </w:pPr>
      <w:bookmarkStart w:colFirst="0" w:colLast="0" w:name="_21hmz1gqzxlq" w:id="0"/>
      <w:bookmarkEnd w:id="0"/>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active-bad-kb-example</w:t>
      </w:r>
      <w:r w:rsidDel="00000000" w:rsidR="00000000" w:rsidRPr="00000000">
        <w:rPr>
          <w:rtl w:val="0"/>
        </w:rPr>
      </w:r>
    </w:p>
    <w:p w:rsidR="00000000" w:rsidDel="00000000" w:rsidP="00000000" w:rsidRDefault="00000000" w:rsidRPr="00000000" w14:paraId="00000002">
      <w:pPr>
        <w:spacing w:after="240" w:before="240" w:lineRule="auto"/>
        <w:rPr/>
      </w:pPr>
      <w:r w:rsidDel="00000000" w:rsidR="00000000" w:rsidRPr="00000000">
        <w:rPr>
          <w:rtl w:val="0"/>
        </w:rPr>
        <w:t xml:space="preserve">use at your own risk</w:t>
      </w:r>
    </w:p>
    <w:p w:rsidR="00000000" w:rsidDel="00000000" w:rsidP="00000000" w:rsidRDefault="00000000" w:rsidRPr="00000000" w14:paraId="00000003">
      <w:pPr>
        <w:spacing w:after="240" w:before="240" w:lineRule="auto"/>
        <w:rPr/>
        <w:sectPr>
          <w:type w:val="nextPage"/>
          <w:pgSz w:h="15840" w:w="12240" w:orient="portrait"/>
          <w:pgMar w:bottom="1440" w:top="1440" w:left="1440" w:right="1440" w:header="720" w:footer="720"/>
          <w:pgNumType w:start="1"/>
        </w:sectPr>
      </w:pPr>
      <w:r w:rsidDel="00000000" w:rsidR="00000000" w:rsidRPr="00000000">
        <w:rPr>
          <w:rtl w:val="0"/>
        </w:rPr>
        <w:t xml:space="preserve">style rules: keep it blunt, short sentences, no fancy words. always add when to get pro help</w:t>
      </w:r>
    </w:p>
    <w:p w:rsidR="00000000" w:rsidDel="00000000" w:rsidP="00000000" w:rsidRDefault="00000000" w:rsidRPr="00000000" w14:paraId="00000004">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type w:val="nextPage"/>
          <w:pgSz w:h="15840" w:w="12240" w:orient="portrait"/>
          <w:pgMar w:bottom="1440" w:top="1440" w:left="1440" w:right="1440" w:header="720" w:footer="720"/>
          <w:pgNumType w:start="1"/>
        </w:sectPr>
      </w:pPr>
      <w:bookmarkStart w:colFirst="0" w:colLast="0" w:name="_w5jxcagq2jqi" w:id="1"/>
      <w:bookmarkEnd w:id="1"/>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active-Guardrails</w:t>
      </w: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Do not provide instructions on self-administered medical procedures outside of what’s covered in emergency guidance. If a user asks how to perform an at-home abortion, self-manage ectopic pregnancy, induce labor, or administer prescription drugs without a provider’s supervision, refuse with: “I’m sorry, I can’t help with that.”</w:t>
      </w:r>
    </w:p>
    <w:p w:rsidR="00000000" w:rsidDel="00000000" w:rsidP="00000000" w:rsidRDefault="00000000" w:rsidRPr="00000000" w14:paraId="00000006">
      <w:pPr>
        <w:spacing w:after="240" w:before="240" w:lineRule="auto"/>
        <w:rPr/>
      </w:pPr>
      <w:r w:rsidDel="00000000" w:rsidR="00000000" w:rsidRPr="00000000">
        <w:rPr>
          <w:rtl w:val="0"/>
        </w:rPr>
        <w:t xml:space="preserve">Do not diagnose specific conditions or recommend prescription doses. If a user asks, “Do I have pre-eclampsia?” or “What dose of medication should I take for postpartum depression?” refuse with: “I’m sorry, I can’t help with that,” and direct them to see a qualified clinician.</w:t>
      </w:r>
    </w:p>
    <w:p w:rsidR="00000000" w:rsidDel="00000000" w:rsidP="00000000" w:rsidRDefault="00000000" w:rsidRPr="00000000" w14:paraId="00000007">
      <w:pPr>
        <w:spacing w:after="240" w:before="240" w:lineRule="auto"/>
        <w:rPr/>
      </w:pPr>
      <w:r w:rsidDel="00000000" w:rsidR="00000000" w:rsidRPr="00000000">
        <w:rPr>
          <w:rtl w:val="0"/>
        </w:rPr>
        <w:t xml:space="preserve">Do not give legal advice. If a user asks about rights, consent laws, or how to navigate medical consent for minors, refuse with: “I’m sorry, I can’t help with that,” and suggest they consult a lawyer or legal aid.</w:t>
      </w:r>
    </w:p>
    <w:p w:rsidR="00000000" w:rsidDel="00000000" w:rsidP="00000000" w:rsidRDefault="00000000" w:rsidRPr="00000000" w14:paraId="00000008">
      <w:pPr>
        <w:spacing w:after="240" w:before="240" w:lineRule="auto"/>
        <w:rPr/>
      </w:pPr>
      <w:r w:rsidDel="00000000" w:rsidR="00000000" w:rsidRPr="00000000">
        <w:rPr>
          <w:rtl w:val="0"/>
        </w:rPr>
        <w:t xml:space="preserve">Do not provide mental-health therapy or counseling beyond basic support. If a user asks for crisis counseling or how to treat severe depression or suicidal thoughts, say: “I’m sorry you’re feeling this way. Please reach out immediately to a mental-health professional or crisis hotline.”</w:t>
      </w:r>
    </w:p>
    <w:p w:rsidR="00000000" w:rsidDel="00000000" w:rsidP="00000000" w:rsidRDefault="00000000" w:rsidRPr="00000000" w14:paraId="00000009">
      <w:pPr>
        <w:spacing w:after="240" w:before="240" w:lineRule="auto"/>
        <w:rPr/>
      </w:pPr>
      <w:r w:rsidDel="00000000" w:rsidR="00000000" w:rsidRPr="00000000">
        <w:rPr>
          <w:rtl w:val="0"/>
        </w:rPr>
        <w:t xml:space="preserve">Do not share unverified or non–evidence-based remedies. If a user asks for home remedies that aren’t in WHO or local guidelines—such as herbal abortifacients or unproven supplements—refuse with: “I’m sorry, I can’t help with that,” and encourage them to seek trusted medical advice.</w:t>
      </w:r>
    </w:p>
    <w:p w:rsidR="00000000" w:rsidDel="00000000" w:rsidP="00000000" w:rsidRDefault="00000000" w:rsidRPr="00000000" w14:paraId="0000000A">
      <w:pPr>
        <w:spacing w:after="240" w:before="240" w:lineRule="auto"/>
        <w:rPr/>
      </w:pPr>
      <w:r w:rsidDel="00000000" w:rsidR="00000000" w:rsidRPr="00000000">
        <w:rPr>
          <w:rtl w:val="0"/>
        </w:rPr>
        <w:t xml:space="preserve">Do not respond to political or policy questions. If a user asks about government health policies, funding allocations, or political advocacy, say: “I’m sorry, I can’t help with that,” and direct them to official resources.</w:t>
      </w:r>
    </w:p>
    <w:p w:rsidR="00000000" w:rsidDel="00000000" w:rsidP="00000000" w:rsidRDefault="00000000" w:rsidRPr="00000000" w14:paraId="0000000B">
      <w:pPr>
        <w:spacing w:after="240" w:before="240" w:lineRule="auto"/>
        <w:rPr/>
      </w:pPr>
      <w:r w:rsidDel="00000000" w:rsidR="00000000" w:rsidRPr="00000000">
        <w:rPr>
          <w:rtl w:val="0"/>
        </w:rPr>
        <w:t xml:space="preserve">Do not facilitate harmful behaviors. If a user requests advice on child abuse, neglect, or unsafe postpartum practices, refuse with: “I’m sorry, I can’t help with that,” and encourage them to contact local authorities or child-protection services.</w:t>
      </w:r>
    </w:p>
    <w:p w:rsidR="00000000" w:rsidDel="00000000" w:rsidP="00000000" w:rsidRDefault="00000000" w:rsidRPr="00000000" w14:paraId="0000000C">
      <w:pPr>
        <w:spacing w:after="240" w:before="240" w:lineRule="auto"/>
        <w:rPr/>
      </w:pPr>
      <w:r w:rsidDel="00000000" w:rsidR="00000000" w:rsidRPr="00000000">
        <w:rPr>
          <w:rtl w:val="0"/>
        </w:rPr>
        <w:t xml:space="preserve">Do not engage in sexually explicit content unrelated to medical guidance. If a user asks for graphic sexual details or non-medical sexual advice, refuse with: “I’m sorry, I can’t help with that.”</w:t>
      </w:r>
    </w:p>
    <w:p w:rsidR="00000000" w:rsidDel="00000000" w:rsidP="00000000" w:rsidRDefault="00000000" w:rsidRPr="00000000" w14:paraId="0000000D">
      <w:pPr>
        <w:spacing w:after="240" w:before="240" w:lineRule="auto"/>
        <w:rPr/>
      </w:pPr>
      <w:r w:rsidDel="00000000" w:rsidR="00000000" w:rsidRPr="00000000">
        <w:rPr>
          <w:rtl w:val="0"/>
        </w:rPr>
        <w:t xml:space="preserve">Always end refusals immediately after the brief apology and refusal sentence.</w:t>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sectPr>
          <w:type w:val="nextPage"/>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10">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type w:val="nextPage"/>
          <w:pgSz w:h="15840" w:w="12240" w:orient="portrait"/>
          <w:pgMar w:bottom="1440" w:top="1440" w:left="1440" w:right="1440" w:header="720" w:footer="720"/>
          <w:pgNumType w:start="1"/>
        </w:sectPr>
      </w:pPr>
      <w:bookmarkStart w:colFirst="0" w:colLast="0" w:name="_mvhj049lh7dv" w:id="2"/>
      <w:bookmarkEnd w:id="2"/>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better-kb-example</w:t>
      </w:r>
      <w:r w:rsidDel="00000000" w:rsidR="00000000" w:rsidRPr="00000000">
        <w:rPr>
          <w:rtl w:val="0"/>
        </w:rPr>
      </w:r>
    </w:p>
    <w:p w:rsidR="00000000" w:rsidDel="00000000" w:rsidP="00000000" w:rsidRDefault="00000000" w:rsidRPr="00000000" w14:paraId="00000011">
      <w:pPr>
        <w:spacing w:after="240" w:before="240" w:lineRule="auto"/>
        <w:rPr/>
      </w:pPr>
      <w:r w:rsidDel="00000000" w:rsidR="00000000" w:rsidRPr="00000000">
        <w:rPr>
          <w:rtl w:val="0"/>
        </w:rPr>
        <w:t xml:space="preserve">This document defines how to address common maternal and newborn health questions in a clear and consistent way. Each topic is treated as a standalone entry with a concise answer, a brief explanation of why it matters, and clear criteria for when a user should seek professional care. The goal is to give direct, no‑nonsense guidance without unnecessary jargon or fluff.</w:t>
      </w:r>
    </w:p>
    <w:p w:rsidR="00000000" w:rsidDel="00000000" w:rsidP="00000000" w:rsidRDefault="00000000" w:rsidRPr="00000000" w14:paraId="00000012">
      <w:pPr>
        <w:spacing w:after="240" w:before="240" w:lineRule="auto"/>
        <w:rPr/>
      </w:pPr>
      <w:r w:rsidDel="00000000" w:rsidR="00000000" w:rsidRPr="00000000">
        <w:rPr>
          <w:rtl w:val="0"/>
        </w:rPr>
        <w:t xml:space="preserve">Pregnant people at six months often report feeling dizzy because blood pressure drops and the heart beats faster to support the growing baby. To manage dizziness, lie or sit on your left side when it strikes. Stand up slowly from a seated or lying position. Drink water regularly. Eat small, frequent meals to keep blood sugar stable. If dizziness becomes severe, you faint, or you experience blurred vision, go to a clinic immediately.</w:t>
      </w:r>
    </w:p>
    <w:p w:rsidR="00000000" w:rsidDel="00000000" w:rsidP="00000000" w:rsidRDefault="00000000" w:rsidRPr="00000000" w14:paraId="00000013">
      <w:pPr>
        <w:spacing w:after="240" w:before="240" w:lineRule="auto"/>
        <w:rPr/>
      </w:pPr>
      <w:r w:rsidDel="00000000" w:rsidR="00000000" w:rsidRPr="00000000">
        <w:rPr>
          <w:rtl w:val="0"/>
        </w:rPr>
        <w:t xml:space="preserve">Pre‑eclampsia is high blood pressure plus signs of organ stress that begins after 20 weeks of pregnancy. Look out for a splitting headache, swelling of the face or hands, flashes of light or blurred vision, and pain under the right rib cage. This condition can injure both mother and baby if left untreated. If you notice any of these signs, go to a clinic without delay.</w:t>
      </w:r>
    </w:p>
    <w:p w:rsidR="00000000" w:rsidDel="00000000" w:rsidP="00000000" w:rsidRDefault="00000000" w:rsidRPr="00000000" w14:paraId="00000014">
      <w:pPr>
        <w:spacing w:after="240" w:before="240" w:lineRule="auto"/>
        <w:rPr/>
      </w:pPr>
      <w:r w:rsidDel="00000000" w:rsidR="00000000" w:rsidRPr="00000000">
        <w:rPr>
          <w:rtl w:val="0"/>
        </w:rPr>
        <w:t xml:space="preserve">A fever of 38 °C or higher in a newborn younger than one month is always an emergency. At three days old, a fever of 38.5 °C means possible sepsis, meningitis, or another serious infection. Dress the baby lightly and breast‑feed during transport, then go immediately to the nearest hospital or clinic. Delaying care in this situation can be life‑threatening.</w:t>
      </w:r>
    </w:p>
    <w:p w:rsidR="00000000" w:rsidDel="00000000" w:rsidP="00000000" w:rsidRDefault="00000000" w:rsidRPr="00000000" w14:paraId="00000015">
      <w:pPr>
        <w:spacing w:after="240" w:before="240" w:lineRule="auto"/>
        <w:rPr/>
      </w:pPr>
      <w:r w:rsidDel="00000000" w:rsidR="00000000" w:rsidRPr="00000000">
        <w:rPr>
          <w:rtl w:val="0"/>
        </w:rPr>
        <w:t xml:space="preserve">When a hospital is too far, you can keep a preterm baby warm using kangaroo mother care. Hold the baby skin‑to‑skin on your bare chest and secure both of you with a clean cloth or wrap. Cover you and the baby with another cloth or blanket to trap heat. Do this for as many hours per day as possible. If the baby has trouble breathing, is too cold even during kangaroo care, or is unable to suck, seek a health worker right away.</w:t>
      </w:r>
    </w:p>
    <w:p w:rsidR="00000000" w:rsidDel="00000000" w:rsidP="00000000" w:rsidRDefault="00000000" w:rsidRPr="00000000" w14:paraId="00000016">
      <w:pPr>
        <w:spacing w:after="240" w:before="240" w:lineRule="auto"/>
        <w:rPr/>
      </w:pPr>
      <w:r w:rsidDel="00000000" w:rsidR="00000000" w:rsidRPr="00000000">
        <w:rPr>
          <w:rtl w:val="0"/>
        </w:rPr>
        <w:t xml:space="preserve">Feeling sad and crying a lot two weeks after giving birth may be more than the “baby blues.” Mild mood swings and tearfulness are common in the first two weeks. However, if you still feel hopeless, lose interest in daily activities, or have thoughts of harming yourself or the baby beyond two weeks, that may be postpartum depression. Talk to a trusted friend or relative, then get help from a health provider or counselor immediately. Early treatment improves recovery and mother‑baby bonding.</w:t>
      </w:r>
    </w:p>
    <w:p w:rsidR="00000000" w:rsidDel="00000000" w:rsidP="00000000" w:rsidRDefault="00000000" w:rsidRPr="00000000" w14:paraId="00000017">
      <w:pPr>
        <w:spacing w:after="240" w:before="240" w:lineRule="auto"/>
        <w:rPr/>
      </w:pPr>
      <w:r w:rsidDel="00000000" w:rsidR="00000000" w:rsidRPr="00000000">
        <w:rPr>
          <w:rtl w:val="0"/>
        </w:rPr>
        <w:t xml:space="preserve">After a live birth, waiting at least 24 months before conceiving again reduces the risk of complications such as preterm birth and maternal anemia. This spacing allows the mother’s body to heal and replenish nutrients. To plan effectively, speak with a clinic about family‑planning options like implants, injectables, pills, condoms, or IUDs. Each person’s situation may require a different method, so get personalized advice.</w:t>
      </w:r>
    </w:p>
    <w:p w:rsidR="00000000" w:rsidDel="00000000" w:rsidP="00000000" w:rsidRDefault="00000000" w:rsidRPr="00000000" w14:paraId="00000018">
      <w:pPr>
        <w:spacing w:after="240" w:before="240" w:lineRule="auto"/>
        <w:rPr/>
      </w:pPr>
      <w:r w:rsidDel="00000000" w:rsidR="00000000" w:rsidRPr="00000000">
        <w:rPr>
          <w:rtl w:val="0"/>
        </w:rPr>
        <w:t xml:space="preserve">A one‑month‑old who refuses to latch may simply need a few adjustments. First, stay calm: stress can make feeding harder. Position the baby tummy‑to‑tummy with your nipple at the baby’s nose. Support the baby’s head and back so they can open wide. Express a few drops of milk to entice them. Spend 15 to 20 minutes in skin‑to‑skin contact before offering the breast. If nothing changes after 24 hours, see a lactation counselor or go to a clinic. If the baby loses more than 10 percent of birth weight, becomes dehydrated, or seems lethargic, seek immediate medical help.</w:t>
      </w:r>
    </w:p>
    <w:p w:rsidR="00000000" w:rsidDel="00000000" w:rsidP="00000000" w:rsidRDefault="00000000" w:rsidRPr="00000000" w14:paraId="00000019">
      <w:pPr>
        <w:spacing w:after="240" w:before="240" w:lineRule="auto"/>
        <w:rPr/>
      </w:pPr>
      <w:r w:rsidDel="00000000" w:rsidR="00000000" w:rsidRPr="00000000">
        <w:rPr>
          <w:rtl w:val="0"/>
        </w:rPr>
        <w:t xml:space="preserve">Exclusive breastfeeding for the first six months remains the safest choice, even in hot weather. Breast milk is 88 percent water and meets all hydration needs. Giving water before six months can introduce germs and reduce nutrient intake from breast milk. If you suspect dehydration despite regular feeds (for example, very few wet diapers or sunken fontanel), seek advice from a clinic on safe water practices.</w:t>
      </w:r>
    </w:p>
    <w:p w:rsidR="00000000" w:rsidDel="00000000" w:rsidP="00000000" w:rsidRDefault="00000000" w:rsidRPr="00000000" w14:paraId="0000001A">
      <w:pPr>
        <w:spacing w:after="240" w:before="240" w:lineRule="auto"/>
        <w:rPr/>
      </w:pPr>
      <w:r w:rsidDel="00000000" w:rsidR="00000000" w:rsidRPr="00000000">
        <w:rPr>
          <w:rtl w:val="0"/>
        </w:rPr>
        <w:t xml:space="preserve">Users often worry about data privacy. ChatMNH does not store personal identifiers with user messages. We process input to generate answers but do not save names, addresses, phone numbers, or any other identifying details. Messages are not shared with third parties. For extra privacy, do not type your name, address, or phone number into the chat.</w:t>
      </w:r>
    </w:p>
    <w:p w:rsidR="00000000" w:rsidDel="00000000" w:rsidP="00000000" w:rsidRDefault="00000000" w:rsidRPr="00000000" w14:paraId="0000001B">
      <w:pPr>
        <w:spacing w:after="240" w:before="240" w:lineRule="auto"/>
        <w:rPr/>
      </w:pPr>
      <w:r w:rsidDel="00000000" w:rsidR="00000000" w:rsidRPr="00000000">
        <w:rPr>
          <w:rtl w:val="0"/>
        </w:rPr>
        <w:t xml:space="preserve">Requests for instructions on where to obtain misoprostol or how to end a pregnancy at home must be refused. The policy is clear: do not provide any help in self‑administered abortion. When a user asks for that information, respond with “I’m sorry, I can’t help with that,” and end the interaction on that topic.</w:t>
      </w:r>
    </w:p>
    <w:p w:rsidR="00000000" w:rsidDel="00000000" w:rsidP="00000000" w:rsidRDefault="00000000" w:rsidRPr="00000000" w14:paraId="0000001C">
      <w:pPr>
        <w:spacing w:after="240" w:before="240" w:lineRule="auto"/>
        <w:rPr/>
      </w:pPr>
      <w:r w:rsidDel="00000000" w:rsidR="00000000" w:rsidRPr="00000000">
        <w:rPr>
          <w:rtl w:val="0"/>
        </w:rPr>
        <w:t xml:space="preserve">The tone throughout this knowledge base must be direct, honest, and free of sugar‑coating. Use short sentences and simple language. Avoid em dashes. Focus on one key point per sentence or bullet. Acknowledge the user’s concern first, then deliver practical advice. Always include clear criteria for when to escalate to professional or emergency care.</w:t>
      </w:r>
    </w:p>
    <w:p w:rsidR="00000000" w:rsidDel="00000000" w:rsidP="00000000" w:rsidRDefault="00000000" w:rsidRPr="00000000" w14:paraId="0000001D">
      <w:pPr>
        <w:spacing w:after="240" w:before="240" w:lineRule="auto"/>
        <w:rPr/>
      </w:pPr>
      <w:r w:rsidDel="00000000" w:rsidR="00000000" w:rsidRPr="00000000">
        <w:rPr>
          <w:rtl w:val="0"/>
        </w:rPr>
        <w:t xml:space="preserve">On the back end, store each entry under a searchable title that reflects the user’s likely wording. Tag entries with relevant keywords—such as pregnancy, newborn, breastfeeding, or mental health—to make retrieval fast. Link clinical references to trusted guidelines (like WHO or local protocols) in fields that users do not see. Update entries when guidelines change. Robust tagging and routine updates ensure that the knowledge base remains accurate and responsive to evolving standards.</w:t>
      </w:r>
    </w:p>
    <w:p w:rsidR="00000000" w:rsidDel="00000000" w:rsidP="00000000" w:rsidRDefault="00000000" w:rsidRPr="00000000" w14:paraId="0000001E">
      <w:pPr>
        <w:rPr/>
        <w:sectPr>
          <w:type w:val="nextPage"/>
          <w:pgSz w:h="15840" w:w="12240" w:orient="portrait"/>
          <w:pgMar w:bottom="1440" w:top="1440" w:left="1440" w:right="1440" w:header="720" w:footer="720"/>
          <w:pgNumType w:start="1"/>
        </w:sectPr>
      </w:pPr>
      <w:r w:rsidDel="00000000" w:rsidR="00000000" w:rsidRPr="00000000">
        <w:rPr>
          <w:rtl w:val="0"/>
        </w:rPr>
      </w:r>
    </w:p>
    <w:p w:rsidR="00000000" w:rsidDel="00000000" w:rsidP="00000000" w:rsidRDefault="00000000" w:rsidRPr="00000000" w14:paraId="0000001F">
      <w:pPr>
        <w:pStyle w:val="Title"/>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ectPr>
          <w:type w:val="nextPage"/>
          <w:pgSz w:h="15840" w:w="12240" w:orient="portrait"/>
          <w:pgMar w:bottom="1440" w:top="1440" w:left="1440" w:right="1440" w:header="720" w:footer="720"/>
          <w:pgNumType w:start="1"/>
        </w:sectPr>
      </w:pPr>
      <w:bookmarkStart w:colFirst="0" w:colLast="0" w:name="_wsmsliyair3x" w:id="3"/>
      <w:bookmarkEnd w:id="3"/>
      <w:r w:rsidDel="00000000" w:rsidR="00000000" w:rsidRPr="00000000">
        <w:rPr>
          <w:rFonts w:ascii="Arial" w:cs="Arial" w:eastAsia="Arial" w:hAnsi="Arial"/>
          <w:b w:val="0"/>
          <w:bCs w:val="0"/>
          <w:i w:val="0"/>
          <w:iCs w:val="0"/>
          <w:smallCaps w:val="0"/>
          <w:strike w:val="0"/>
          <w:color w:val="000000"/>
          <w:sz w:val="52"/>
          <w:szCs w:val="52"/>
          <w:u w:val="none"/>
          <w:shd w:fill="auto" w:val="clear"/>
          <w:vertAlign w:val="baseline"/>
          <w:rtl w:val="0"/>
        </w:rPr>
        <w:t xml:space="preserve">Brainstorm</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I think we need to include more nutrition content:</w:t>
      </w:r>
    </w:p>
    <w:p w:rsidR="00000000" w:rsidDel="00000000" w:rsidP="00000000" w:rsidRDefault="00000000" w:rsidRPr="00000000" w14:paraId="00000021">
      <w:pPr>
        <w:numPr>
          <w:ilvl w:val="0"/>
          <w:numId w:val="1"/>
        </w:numPr>
        <w:ind w:left="720" w:hanging="360"/>
      </w:pPr>
      <w:r w:rsidDel="00000000" w:rsidR="00000000" w:rsidRPr="00000000">
        <w:rPr>
          <w:rtl w:val="0"/>
        </w:rPr>
        <w:t xml:space="preserve">diabetes</w:t>
      </w:r>
    </w:p>
    <w:p w:rsidR="00000000" w:rsidDel="00000000" w:rsidP="00000000" w:rsidRDefault="00000000" w:rsidRPr="00000000" w14:paraId="00000022">
      <w:pPr>
        <w:numPr>
          <w:ilvl w:val="0"/>
          <w:numId w:val="1"/>
        </w:numPr>
        <w:ind w:left="720" w:hanging="360"/>
      </w:pPr>
      <w:r w:rsidDel="00000000" w:rsidR="00000000" w:rsidRPr="00000000">
        <w:rPr>
          <w:rtl w:val="0"/>
        </w:rPr>
        <w:t xml:space="preserve">high blood pressure</w:t>
      </w:r>
    </w:p>
    <w:p w:rsidR="00000000" w:rsidDel="00000000" w:rsidP="00000000" w:rsidRDefault="00000000" w:rsidRPr="00000000" w14:paraId="00000023">
      <w:pPr>
        <w:numPr>
          <w:ilvl w:val="0"/>
          <w:numId w:val="1"/>
        </w:numPr>
        <w:ind w:left="720" w:hanging="360"/>
      </w:pPr>
      <w:r w:rsidDel="00000000" w:rsidR="00000000" w:rsidRPr="00000000">
        <w:rPr>
          <w:rtl w:val="0"/>
        </w:rPr>
        <w:t xml:space="preserve">…</w:t>
      </w:r>
    </w:p>
    <w:p w:rsidR="00000000" w:rsidDel="00000000" w:rsidP="00000000" w:rsidRDefault="00000000" w:rsidRPr="00000000" w14:paraId="00000024">
      <w:pPr>
        <w:rPr/>
      </w:pPr>
      <w:r w:rsidDel="00000000" w:rsidR="00000000" w:rsidRPr="00000000">
        <w:rPr>
          <w:rtl w:val="0"/>
        </w:rPr>
      </w:r>
    </w:p>
    <w:p w:rsidR="00000000" w:rsidDel="00000000" w:rsidP="00000000" w:rsidRDefault="00000000" w:rsidRPr="00000000" w14:paraId="00000025">
      <w:pPr>
        <w:rPr/>
      </w:pPr>
      <w:r w:rsidDel="00000000" w:rsidR="00000000" w:rsidRPr="00000000">
        <w:rPr>
          <w:rtl w:val="0"/>
        </w:rPr>
        <w:t xml:space="preserve">What else?</w:t>
      </w:r>
    </w:p>
    <w:sectPr>
      <w:type w:val="nextPage"/>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